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6" w:rsidRPr="0088500D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8500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510135" wp14:editId="75A80E3D">
            <wp:simplePos x="0" y="0"/>
            <wp:positionH relativeFrom="margin">
              <wp:posOffset>57150</wp:posOffset>
            </wp:positionH>
            <wp:positionV relativeFrom="margin">
              <wp:posOffset>201930</wp:posOffset>
            </wp:positionV>
            <wp:extent cx="2057400" cy="1984375"/>
            <wp:effectExtent l="0" t="0" r="0" b="0"/>
            <wp:wrapThrough wrapText="bothSides">
              <wp:wrapPolygon edited="0">
                <wp:start x="0" y="0"/>
                <wp:lineTo x="0" y="21358"/>
                <wp:lineTo x="21400" y="21358"/>
                <wp:lineTo x="21400" y="0"/>
                <wp:lineTo x="0" y="0"/>
              </wp:wrapPolygon>
            </wp:wrapThrough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8500D">
        <w:rPr>
          <w:rFonts w:ascii="Times New Roman" w:hAnsi="Times New Roman" w:cs="Times New Roman"/>
          <w:b/>
          <w:sz w:val="36"/>
          <w:szCs w:val="36"/>
        </w:rPr>
        <w:t>Артикуляционная гимнастика.</w:t>
      </w:r>
      <w:r w:rsidR="00F05BD0" w:rsidRPr="0088500D">
        <w:rPr>
          <w:rFonts w:ascii="Times New Roman" w:hAnsi="Times New Roman" w:cs="Times New Roman"/>
          <w:b/>
          <w:sz w:val="36"/>
          <w:szCs w:val="36"/>
        </w:rPr>
        <w:tab/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</w:t>
      </w:r>
      <w:proofErr w:type="gramStart"/>
      <w:r w:rsidRPr="00683F9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E51F71" wp14:editId="24F405BF">
            <wp:simplePos x="0" y="0"/>
            <wp:positionH relativeFrom="margin">
              <wp:posOffset>5102860</wp:posOffset>
            </wp:positionH>
            <wp:positionV relativeFrom="margin">
              <wp:posOffset>6840855</wp:posOffset>
            </wp:positionV>
            <wp:extent cx="1607820" cy="2257425"/>
            <wp:effectExtent l="0" t="0" r="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16078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E"/>
    <w:rsid w:val="00225699"/>
    <w:rsid w:val="0054150F"/>
    <w:rsid w:val="00586CB8"/>
    <w:rsid w:val="00683F9C"/>
    <w:rsid w:val="0088500D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2014-09-22T01:52:00Z</dcterms:created>
  <dcterms:modified xsi:type="dcterms:W3CDTF">2021-11-24T07:46:00Z</dcterms:modified>
</cp:coreProperties>
</file>